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231" w:rsidRDefault="00524231">
      <w:pPr>
        <w:pStyle w:val="Body"/>
        <w:rPr>
          <w:rFonts w:ascii="Avenir Next Regular" w:hAnsi="Avenir Next Regular"/>
          <w:b/>
          <w:bCs/>
          <w:sz w:val="26"/>
          <w:szCs w:val="26"/>
        </w:rPr>
      </w:pPr>
      <w:r>
        <w:rPr>
          <w:rFonts w:ascii="Avenir Next Regular" w:hAnsi="Avenir Next Regular"/>
          <w:b/>
          <w:bCs/>
          <w:sz w:val="26"/>
          <w:szCs w:val="26"/>
        </w:rPr>
        <w:t xml:space="preserve">          </w:t>
      </w:r>
      <w:r>
        <w:rPr>
          <w:rFonts w:ascii="Avenir Next Regular" w:hAnsi="Avenir Next Regular"/>
          <w:b/>
          <w:bCs/>
          <w:sz w:val="26"/>
          <w:szCs w:val="26"/>
        </w:rPr>
        <w:tab/>
      </w:r>
      <w:r>
        <w:rPr>
          <w:rFonts w:ascii="Avenir Next Regular" w:hAnsi="Avenir Next Regular"/>
          <w:b/>
          <w:bCs/>
          <w:sz w:val="26"/>
          <w:szCs w:val="26"/>
        </w:rPr>
        <w:tab/>
      </w:r>
      <w:r w:rsidR="009878B2">
        <w:rPr>
          <w:rFonts w:ascii="Avenir Next Regular" w:hAnsi="Avenir Next Regular"/>
          <w:b/>
          <w:bCs/>
          <w:sz w:val="26"/>
          <w:szCs w:val="26"/>
        </w:rPr>
        <w:t xml:space="preserve">         </w:t>
      </w:r>
      <w:r>
        <w:rPr>
          <w:rFonts w:ascii="Avenir Next Regular" w:hAnsi="Avenir Next Regular"/>
          <w:b/>
          <w:bCs/>
          <w:sz w:val="26"/>
          <w:szCs w:val="26"/>
        </w:rPr>
        <w:tab/>
      </w:r>
      <w:r w:rsidR="009878B2">
        <w:rPr>
          <w:rFonts w:ascii="Avenir Next Regular" w:hAnsi="Avenir Next Regular"/>
          <w:b/>
          <w:bCs/>
          <w:noProof/>
          <w:sz w:val="26"/>
          <w:szCs w:val="26"/>
          <w14:textOutline w14:w="0" w14:cap="rnd" w14:cmpd="sng" w14:algn="ctr">
            <w14:noFill/>
            <w14:prstDash w14:val="solid"/>
            <w14:bevel/>
          </w14:textOutline>
        </w:rPr>
        <w:drawing>
          <wp:inline distT="0" distB="0" distL="0" distR="0" wp14:anchorId="294ACA88" wp14:editId="35487F5A">
            <wp:extent cx="1727200" cy="1574800"/>
            <wp:effectExtent l="0" t="0" r="0" b="0"/>
            <wp:docPr id="5804908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9083" name="Picture 2"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7200" cy="1574800"/>
                    </a:xfrm>
                    <a:prstGeom prst="rect">
                      <a:avLst/>
                    </a:prstGeom>
                  </pic:spPr>
                </pic:pic>
              </a:graphicData>
            </a:graphic>
          </wp:inline>
        </w:drawing>
      </w:r>
    </w:p>
    <w:p w:rsidR="00524231" w:rsidRDefault="00524231">
      <w:pPr>
        <w:pStyle w:val="Body"/>
        <w:rPr>
          <w:rFonts w:ascii="Avenir Next Regular" w:hAnsi="Avenir Next Regular"/>
          <w:b/>
          <w:bCs/>
          <w:sz w:val="26"/>
          <w:szCs w:val="26"/>
        </w:rPr>
      </w:pPr>
    </w:p>
    <w:p w:rsidR="00524231" w:rsidRDefault="00524231">
      <w:pPr>
        <w:pStyle w:val="Body"/>
        <w:rPr>
          <w:rFonts w:ascii="Avenir Next Regular" w:hAnsi="Avenir Next Regular"/>
          <w:b/>
          <w:bCs/>
          <w:sz w:val="26"/>
          <w:szCs w:val="26"/>
        </w:rPr>
      </w:pPr>
    </w:p>
    <w:p w:rsidR="00524231" w:rsidRDefault="00524231">
      <w:pPr>
        <w:pStyle w:val="Body"/>
        <w:rPr>
          <w:rFonts w:ascii="Avenir Next Regular" w:hAnsi="Avenir Next Regular"/>
          <w:b/>
          <w:bCs/>
          <w:sz w:val="26"/>
          <w:szCs w:val="26"/>
        </w:rPr>
      </w:pPr>
    </w:p>
    <w:p w:rsidR="00122B2C" w:rsidRDefault="00000000">
      <w:pPr>
        <w:pStyle w:val="Body"/>
        <w:rPr>
          <w:rFonts w:ascii="Avenir Next Regular" w:eastAsia="Avenir Next Regular" w:hAnsi="Avenir Next Regular" w:cs="Avenir Next Regular"/>
          <w:b/>
          <w:bCs/>
          <w:sz w:val="26"/>
          <w:szCs w:val="26"/>
        </w:rPr>
      </w:pPr>
      <w:r>
        <w:rPr>
          <w:rFonts w:ascii="Avenir Next Regular" w:hAnsi="Avenir Next Regular"/>
          <w:b/>
          <w:bCs/>
          <w:sz w:val="26"/>
          <w:szCs w:val="26"/>
        </w:rPr>
        <w:t>The 7 Must-Haves for Special Needs Planning</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1. Guardianship</w:t>
      </w:r>
    </w:p>
    <w:p w:rsidR="00122B2C" w:rsidRDefault="00000000">
      <w:pPr>
        <w:pStyle w:val="Body"/>
        <w:rPr>
          <w:rFonts w:ascii="Avenir Next Regular" w:eastAsia="Avenir Next Regular" w:hAnsi="Avenir Next Regular" w:cs="Avenir Next Regular"/>
        </w:rPr>
      </w:pPr>
      <w:r>
        <w:rPr>
          <w:rFonts w:ascii="Avenir Next Regular" w:hAnsi="Avenir Next Regular"/>
        </w:rPr>
        <w:t>When your child turns 18, they become a legal adult — even if they are not capable of making independent decisions. Establishing guardianship (or alternatives like power of attorney) ensures that someone you trust can legally make healthcare, education, and financial decisions on their behalf.</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2. Letter of Intent</w:t>
      </w:r>
    </w:p>
    <w:p w:rsidR="00122B2C" w:rsidRDefault="00000000">
      <w:pPr>
        <w:pStyle w:val="Body"/>
        <w:rPr>
          <w:rFonts w:ascii="Avenir Next Regular" w:eastAsia="Avenir Next Regular" w:hAnsi="Avenir Next Regular" w:cs="Avenir Next Regular"/>
        </w:rPr>
      </w:pPr>
      <w:r>
        <w:rPr>
          <w:rFonts w:ascii="Avenir Next Regular" w:hAnsi="Avenir Next Regular"/>
        </w:rPr>
        <w:t>This is a detailed, personal document that tells future caregivers everything they need to know about your child</w:t>
      </w:r>
      <w:r>
        <w:rPr>
          <w:rFonts w:ascii="Avenir Next Regular" w:hAnsi="Avenir Next Regular"/>
          <w:rtl/>
        </w:rPr>
        <w:t>’</w:t>
      </w:r>
      <w:r>
        <w:rPr>
          <w:rFonts w:ascii="Avenir Next Regular" w:hAnsi="Avenir Next Regular"/>
        </w:rPr>
        <w:t>s routines, preferences, medical needs, and life story. It</w:t>
      </w:r>
      <w:r>
        <w:rPr>
          <w:rFonts w:ascii="Avenir Next Regular" w:hAnsi="Avenir Next Regular"/>
          <w:rtl/>
        </w:rPr>
        <w:t>’</w:t>
      </w:r>
      <w:r>
        <w:rPr>
          <w:rFonts w:ascii="Avenir Next Regular" w:hAnsi="Avenir Next Regular"/>
        </w:rPr>
        <w:t>s not a legal document, but it can be one of the most important tools for preserving continuity and peace of mind.</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3. Special Needs Trust</w:t>
      </w:r>
    </w:p>
    <w:p w:rsidR="00122B2C" w:rsidRDefault="00000000">
      <w:pPr>
        <w:pStyle w:val="Body"/>
        <w:rPr>
          <w:rFonts w:ascii="Avenir Next Regular" w:eastAsia="Avenir Next Regular" w:hAnsi="Avenir Next Regular" w:cs="Avenir Next Regular"/>
        </w:rPr>
      </w:pPr>
      <w:r>
        <w:rPr>
          <w:rFonts w:ascii="Avenir Next Regular" w:hAnsi="Avenir Next Regular"/>
        </w:rPr>
        <w:t>A Special Needs Trust allows you to set aside money for your child without affecting their eligibility for government benefits like SSI or Medicaid. It protects assets and ensures the funds are used to improve their quality of life — not counted against them.</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4. Government Benefits</w:t>
      </w:r>
    </w:p>
    <w:p w:rsidR="00122B2C" w:rsidRDefault="00000000">
      <w:pPr>
        <w:pStyle w:val="Body"/>
        <w:rPr>
          <w:rFonts w:ascii="Avenir Next Regular" w:eastAsia="Avenir Next Regular" w:hAnsi="Avenir Next Regular" w:cs="Avenir Next Regular"/>
        </w:rPr>
      </w:pPr>
      <w:r>
        <w:rPr>
          <w:rFonts w:ascii="Avenir Next Regular" w:hAnsi="Avenir Next Regular"/>
        </w:rPr>
        <w:t>Navigating programs like SSI, SSDI, Medicaid, and Medicare can be overwhelming. Understanding what your child qualifies for — and how to protect their eligibility — is a foundational piece of any special needs plan.</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5. Life Insurance</w:t>
      </w:r>
    </w:p>
    <w:p w:rsidR="00122B2C" w:rsidRDefault="00000000">
      <w:pPr>
        <w:pStyle w:val="Body"/>
        <w:rPr>
          <w:rFonts w:ascii="Avenir Next Regular" w:eastAsia="Avenir Next Regular" w:hAnsi="Avenir Next Regular" w:cs="Avenir Next Regular"/>
        </w:rPr>
      </w:pPr>
      <w:r>
        <w:rPr>
          <w:rFonts w:ascii="Avenir Next Regular" w:hAnsi="Avenir Next Regular"/>
        </w:rPr>
        <w:t>For many families, life insurance is the most effective way to fund a Special Needs Trust. It provides a guaranteed pool of money for your child</w:t>
      </w:r>
      <w:r>
        <w:rPr>
          <w:rFonts w:ascii="Avenir Next Regular" w:hAnsi="Avenir Next Regular"/>
          <w:rtl/>
        </w:rPr>
        <w:t>’</w:t>
      </w:r>
      <w:r>
        <w:rPr>
          <w:rFonts w:ascii="Avenir Next Regular" w:hAnsi="Avenir Next Regular"/>
        </w:rPr>
        <w:t>s care after you're gone — without leaving other children or goals underfunded.</w:t>
      </w:r>
    </w:p>
    <w:p w:rsidR="00122B2C" w:rsidRDefault="00122B2C">
      <w:pPr>
        <w:pStyle w:val="Body"/>
        <w:rPr>
          <w:rFonts w:ascii="Avenir Next Regular" w:eastAsia="Avenir Next Regular" w:hAnsi="Avenir Next Regular" w:cs="Avenir Next Regular"/>
        </w:rPr>
      </w:pPr>
    </w:p>
    <w:p w:rsidR="00524231" w:rsidRDefault="00524231">
      <w:pPr>
        <w:pStyle w:val="Body"/>
        <w:rPr>
          <w:rFonts w:ascii="Avenir Next Regular" w:hAnsi="Avenir Next Regular"/>
          <w:b/>
          <w:bCs/>
        </w:rPr>
      </w:pPr>
    </w:p>
    <w:p w:rsidR="009878B2" w:rsidRDefault="009878B2">
      <w:pPr>
        <w:pStyle w:val="Body"/>
        <w:rPr>
          <w:rFonts w:ascii="Avenir Next Regular" w:hAnsi="Avenir Next Regular"/>
          <w:b/>
          <w:bCs/>
        </w:rPr>
      </w:pPr>
    </w:p>
    <w:p w:rsidR="009878B2" w:rsidRDefault="009878B2">
      <w:pPr>
        <w:pStyle w:val="Body"/>
        <w:rPr>
          <w:rFonts w:ascii="Avenir Next Regular" w:hAnsi="Avenir Next Regular"/>
          <w:b/>
          <w:bCs/>
        </w:rPr>
      </w:pPr>
    </w:p>
    <w:p w:rsidR="009878B2" w:rsidRDefault="009878B2">
      <w:pPr>
        <w:pStyle w:val="Body"/>
        <w:rPr>
          <w:rFonts w:ascii="Avenir Next Regular" w:hAnsi="Avenir Next Regular"/>
          <w:b/>
          <w:bCs/>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lastRenderedPageBreak/>
        <w:t>6. Care Planning</w:t>
      </w:r>
    </w:p>
    <w:p w:rsidR="00122B2C" w:rsidRDefault="00000000">
      <w:pPr>
        <w:pStyle w:val="Body"/>
        <w:rPr>
          <w:rFonts w:ascii="Avenir Next Regular" w:eastAsia="Avenir Next Regular" w:hAnsi="Avenir Next Regular" w:cs="Avenir Next Regular"/>
        </w:rPr>
      </w:pPr>
      <w:r>
        <w:rPr>
          <w:rFonts w:ascii="Avenir Next Regular" w:hAnsi="Avenir Next Regular"/>
        </w:rPr>
        <w:t xml:space="preserve">Care planning addresses the </w:t>
      </w:r>
      <w:r>
        <w:rPr>
          <w:rFonts w:ascii="Avenir Next Regular" w:hAnsi="Avenir Next Regular"/>
          <w:rtl/>
          <w:lang w:val="ar-SA"/>
        </w:rPr>
        <w:t>“</w:t>
      </w:r>
      <w:r>
        <w:rPr>
          <w:rFonts w:ascii="Avenir Next Regular" w:hAnsi="Avenir Next Regular"/>
        </w:rPr>
        <w:t>who, what, when, and how” of your child</w:t>
      </w:r>
      <w:r>
        <w:rPr>
          <w:rFonts w:ascii="Avenir Next Regular" w:hAnsi="Avenir Next Regular"/>
          <w:rtl/>
        </w:rPr>
        <w:t>’</w:t>
      </w:r>
      <w:r>
        <w:rPr>
          <w:rFonts w:ascii="Avenir Next Regular" w:hAnsi="Avenir Next Regular"/>
        </w:rPr>
        <w:t>s ongoing support. It includes choosing future caregivers, housing strategies, daily needs, and how those will be managed over time. This is your roadmap for life care.</w:t>
      </w:r>
    </w:p>
    <w:p w:rsidR="00122B2C" w:rsidRDefault="00122B2C">
      <w:pPr>
        <w:pStyle w:val="Body"/>
        <w:rPr>
          <w:rFonts w:ascii="Avenir Next Regular" w:eastAsia="Avenir Next Regular" w:hAnsi="Avenir Next Regular" w:cs="Avenir Next Regular"/>
        </w:rPr>
      </w:pPr>
    </w:p>
    <w:p w:rsidR="00122B2C" w:rsidRDefault="00000000">
      <w:pPr>
        <w:pStyle w:val="Body"/>
        <w:rPr>
          <w:rFonts w:ascii="Avenir Next Regular" w:eastAsia="Avenir Next Regular" w:hAnsi="Avenir Next Regular" w:cs="Avenir Next Regular"/>
          <w:b/>
          <w:bCs/>
        </w:rPr>
      </w:pPr>
      <w:r>
        <w:rPr>
          <w:rFonts w:ascii="Avenir Next Regular" w:hAnsi="Avenir Next Regular"/>
          <w:b/>
          <w:bCs/>
        </w:rPr>
        <w:t>7. Financial Coordination</w:t>
      </w:r>
    </w:p>
    <w:p w:rsidR="00122B2C" w:rsidRDefault="00000000">
      <w:pPr>
        <w:pStyle w:val="Body"/>
      </w:pPr>
      <w:r>
        <w:rPr>
          <w:rFonts w:ascii="Avenir Next Regular" w:hAnsi="Avenir Next Regular"/>
        </w:rPr>
        <w:t>This ensures that your wills, beneficiary designations, retirement accounts, and other assets are aligned with the special needs plan. Without this coordination, even a well-written trust can be accidentally bypassed — putting benefits at risk.</w:t>
      </w:r>
    </w:p>
    <w:sectPr w:rsidR="00122B2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C12" w:rsidRDefault="003C2C12">
      <w:r>
        <w:separator/>
      </w:r>
    </w:p>
  </w:endnote>
  <w:endnote w:type="continuationSeparator" w:id="0">
    <w:p w:rsidR="003C2C12" w:rsidRDefault="003C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venir Next Regular">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C" w:rsidRDefault="00122B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C12" w:rsidRDefault="003C2C12">
      <w:r>
        <w:separator/>
      </w:r>
    </w:p>
  </w:footnote>
  <w:footnote w:type="continuationSeparator" w:id="0">
    <w:p w:rsidR="003C2C12" w:rsidRDefault="003C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2C" w:rsidRDefault="00122B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2C"/>
    <w:rsid w:val="00122B2C"/>
    <w:rsid w:val="003C2C12"/>
    <w:rsid w:val="00524231"/>
    <w:rsid w:val="00526A44"/>
    <w:rsid w:val="00942106"/>
    <w:rsid w:val="009878B2"/>
    <w:rsid w:val="00CE49EC"/>
    <w:rsid w:val="00CF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2854"/>
  <w15:docId w15:val="{7358592D-5012-2943-9005-85496162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kristan rotbergs</cp:lastModifiedBy>
  <cp:revision>3</cp:revision>
  <dcterms:created xsi:type="dcterms:W3CDTF">2025-06-13T00:01:00Z</dcterms:created>
  <dcterms:modified xsi:type="dcterms:W3CDTF">2025-06-13T00:22:00Z</dcterms:modified>
</cp:coreProperties>
</file>